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46" w:rsidRPr="001E097F" w:rsidRDefault="006B3946" w:rsidP="00CA627A">
      <w:pPr>
        <w:jc w:val="center"/>
        <w:rPr>
          <w:b/>
          <w:szCs w:val="24"/>
        </w:rPr>
      </w:pPr>
      <w:r w:rsidRPr="001E097F">
        <w:rPr>
          <w:b/>
          <w:szCs w:val="24"/>
        </w:rPr>
        <w:t>Suppleme</w:t>
      </w:r>
      <w:r w:rsidR="00892AB6" w:rsidRPr="001E097F">
        <w:rPr>
          <w:b/>
          <w:szCs w:val="24"/>
        </w:rPr>
        <w:t xml:space="preserve">ntal </w:t>
      </w:r>
      <w:r w:rsidR="007C157A" w:rsidRPr="001E097F">
        <w:rPr>
          <w:b/>
          <w:szCs w:val="24"/>
        </w:rPr>
        <w:t>Text</w:t>
      </w:r>
      <w:r w:rsidR="00892AB6" w:rsidRPr="001E097F">
        <w:rPr>
          <w:b/>
          <w:szCs w:val="24"/>
        </w:rPr>
        <w:t xml:space="preserve"> </w:t>
      </w:r>
    </w:p>
    <w:p w:rsidR="007C157A" w:rsidRPr="001E097F" w:rsidRDefault="007C157A" w:rsidP="00CA627A">
      <w:pPr>
        <w:jc w:val="center"/>
        <w:rPr>
          <w:b/>
          <w:szCs w:val="24"/>
        </w:rPr>
      </w:pPr>
    </w:p>
    <w:p w:rsidR="006B3946" w:rsidRPr="001E097F" w:rsidRDefault="006B3946" w:rsidP="00AC6A13">
      <w:pPr>
        <w:spacing w:line="480" w:lineRule="auto"/>
        <w:rPr>
          <w:i/>
          <w:szCs w:val="24"/>
        </w:rPr>
      </w:pPr>
      <w:r w:rsidRPr="001E097F">
        <w:rPr>
          <w:szCs w:val="24"/>
        </w:rPr>
        <w:t xml:space="preserve"> </w:t>
      </w:r>
      <w:r w:rsidRPr="001E097F">
        <w:rPr>
          <w:i/>
          <w:szCs w:val="24"/>
        </w:rPr>
        <w:t xml:space="preserve">Measuring Dynamic State Public Opinion via MRP     </w:t>
      </w:r>
    </w:p>
    <w:p w:rsidR="006B3946" w:rsidRPr="001E097F" w:rsidRDefault="006B3946" w:rsidP="00C626F6">
      <w:pPr>
        <w:spacing w:line="480" w:lineRule="auto"/>
        <w:ind w:firstLine="720"/>
        <w:contextualSpacing/>
        <w:rPr>
          <w:szCs w:val="24"/>
        </w:rPr>
      </w:pPr>
      <w:r w:rsidRPr="001E097F">
        <w:rPr>
          <w:szCs w:val="24"/>
        </w:rPr>
        <w:t>One technique which has been shown to overcome the challenges</w:t>
      </w:r>
      <w:r w:rsidR="00E81FE4">
        <w:rPr>
          <w:szCs w:val="24"/>
        </w:rPr>
        <w:t xml:space="preserve"> in measuring state opinion over time from national surveys</w:t>
      </w:r>
      <w:r w:rsidRPr="001E097F">
        <w:rPr>
          <w:szCs w:val="24"/>
        </w:rPr>
        <w:t xml:space="preserve"> is multilevel modeling, imputation, and post-stratification (referred to as MRP) developed by </w:t>
      </w:r>
      <w:proofErr w:type="spellStart"/>
      <w:r w:rsidRPr="001E097F">
        <w:rPr>
          <w:szCs w:val="24"/>
        </w:rPr>
        <w:t>Gelman</w:t>
      </w:r>
      <w:proofErr w:type="spellEnd"/>
      <w:r w:rsidRPr="001E097F">
        <w:rPr>
          <w:szCs w:val="24"/>
        </w:rPr>
        <w:t xml:space="preserve"> and Little (1997) and extended by Park et al. (2004; 2006), Lax and P</w:t>
      </w:r>
      <w:r w:rsidR="007C157A" w:rsidRPr="001E097F">
        <w:rPr>
          <w:szCs w:val="24"/>
        </w:rPr>
        <w:t>hillips (2009), and Pacheco (2011</w:t>
      </w:r>
      <w:r w:rsidRPr="001E097F">
        <w:rPr>
          <w:szCs w:val="24"/>
        </w:rPr>
        <w:t xml:space="preserve">).  </w:t>
      </w:r>
      <w:r w:rsidR="00E81FE4">
        <w:rPr>
          <w:szCs w:val="24"/>
        </w:rPr>
        <w:t>First, w</w:t>
      </w:r>
      <w:r w:rsidRPr="001E097F">
        <w:rPr>
          <w:szCs w:val="24"/>
        </w:rPr>
        <w:t>e begin with a multilevel model to estimate state public opinion for individuals given demographics and state.  The MRP approach includes various predictors to estimate state public opinion.  Following Pacheco (20</w:t>
      </w:r>
      <w:r w:rsidR="007C157A" w:rsidRPr="001E097F">
        <w:rPr>
          <w:szCs w:val="24"/>
        </w:rPr>
        <w:t>11</w:t>
      </w:r>
      <w:r w:rsidRPr="001E097F">
        <w:rPr>
          <w:szCs w:val="24"/>
        </w:rPr>
        <w:t xml:space="preserve">), I use gender (0=male, 1=female), race (0=non-black, 1=black), age (four categories: 18-29, 30-44, 45-64, and 65+) and education (four categories: no high school degree, high school degree, some college, and college+) for estimating public opinion towards both education and welfare.  I write the model below using indexes </w:t>
      </w:r>
      <w:proofErr w:type="spellStart"/>
      <w:r w:rsidRPr="001E097F">
        <w:rPr>
          <w:i/>
          <w:iCs/>
          <w:szCs w:val="24"/>
        </w:rPr>
        <w:t>j</w:t>
      </w:r>
      <w:proofErr w:type="gramStart"/>
      <w:r w:rsidRPr="001E097F">
        <w:rPr>
          <w:i/>
          <w:iCs/>
          <w:szCs w:val="24"/>
        </w:rPr>
        <w:t>,k</w:t>
      </w:r>
      <w:proofErr w:type="spellEnd"/>
      <w:proofErr w:type="gramEnd"/>
      <w:r w:rsidRPr="001E097F">
        <w:rPr>
          <w:i/>
          <w:iCs/>
          <w:szCs w:val="24"/>
        </w:rPr>
        <w:t xml:space="preserve">, </w:t>
      </w:r>
      <w:r w:rsidRPr="001E097F">
        <w:rPr>
          <w:szCs w:val="24"/>
        </w:rPr>
        <w:t xml:space="preserve">and </w:t>
      </w:r>
      <w:r w:rsidRPr="001E097F">
        <w:rPr>
          <w:i/>
          <w:iCs/>
          <w:szCs w:val="24"/>
        </w:rPr>
        <w:t xml:space="preserve">l </w:t>
      </w:r>
      <w:r w:rsidRPr="001E097F">
        <w:rPr>
          <w:szCs w:val="24"/>
        </w:rPr>
        <w:t xml:space="preserve">for state, age category, and education category, respectively; the subscript </w:t>
      </w:r>
      <w:r w:rsidRPr="001E097F">
        <w:rPr>
          <w:i/>
          <w:szCs w:val="24"/>
        </w:rPr>
        <w:t>i</w:t>
      </w:r>
      <w:r w:rsidRPr="001E097F">
        <w:rPr>
          <w:szCs w:val="24"/>
        </w:rPr>
        <w:t xml:space="preserve"> refers to individual respondents.</w:t>
      </w:r>
      <w:r w:rsidRPr="001E097F">
        <w:rPr>
          <w:rStyle w:val="FootnoteReference"/>
          <w:szCs w:val="24"/>
        </w:rPr>
        <w:footnoteReference w:id="1"/>
      </w:r>
      <w:r w:rsidRPr="001E097F">
        <w:rPr>
          <w:szCs w:val="24"/>
        </w:rPr>
        <w:t xml:space="preserve"> </w:t>
      </w:r>
    </w:p>
    <w:p w:rsidR="006B3946" w:rsidRPr="001E097F" w:rsidRDefault="006B3946" w:rsidP="00C626F6">
      <w:pPr>
        <w:ind w:firstLine="720"/>
        <w:contextualSpacing/>
        <w:rPr>
          <w:bCs/>
          <w:szCs w:val="24"/>
        </w:rPr>
      </w:pPr>
    </w:p>
    <w:p w:rsidR="006B3946" w:rsidRPr="001E097F" w:rsidRDefault="007C157A" w:rsidP="00C626F6">
      <w:pPr>
        <w:ind w:firstLine="720"/>
        <w:contextualSpacing/>
        <w:rPr>
          <w:szCs w:val="24"/>
        </w:rPr>
      </w:pPr>
      <w:r w:rsidRPr="001E097F">
        <w:rPr>
          <w:bCs/>
          <w:szCs w:val="24"/>
        </w:rPr>
        <w:lastRenderedPageBreak/>
        <w:t>(1</w:t>
      </w:r>
      <w:r w:rsidR="006B3946" w:rsidRPr="001E097F">
        <w:rPr>
          <w:bCs/>
          <w:szCs w:val="24"/>
        </w:rPr>
        <w:t>)</w:t>
      </w:r>
      <w:r w:rsidR="006B3946" w:rsidRPr="001E097F">
        <w:rPr>
          <w:b/>
          <w:bCs/>
          <w:szCs w:val="24"/>
        </w:rPr>
        <w:t xml:space="preserve"> </w:t>
      </w:r>
      <w:r w:rsidR="006B3946" w:rsidRPr="001E097F">
        <w:rPr>
          <w:b/>
          <w:bCs/>
          <w:szCs w:val="24"/>
        </w:rPr>
        <w:tab/>
      </w:r>
      <w:r w:rsidR="006B3946" w:rsidRPr="001E097F">
        <w:rPr>
          <w:b/>
          <w:bCs/>
          <w:szCs w:val="24"/>
        </w:rPr>
        <w:tab/>
        <w:t xml:space="preserve">Level 1: </w:t>
      </w:r>
      <w:proofErr w:type="spellStart"/>
      <w:proofErr w:type="gramStart"/>
      <w:r w:rsidR="006B3946" w:rsidRPr="001E097F">
        <w:rPr>
          <w:szCs w:val="24"/>
        </w:rPr>
        <w:t>Pr</w:t>
      </w:r>
      <w:proofErr w:type="spellEnd"/>
      <w:r w:rsidR="006B3946" w:rsidRPr="001E097F">
        <w:rPr>
          <w:szCs w:val="24"/>
        </w:rPr>
        <w:t>(</w:t>
      </w:r>
      <w:proofErr w:type="spellStart"/>
      <w:proofErr w:type="gramEnd"/>
      <w:r w:rsidR="006B3946" w:rsidRPr="001E097F">
        <w:rPr>
          <w:i/>
          <w:iCs/>
          <w:szCs w:val="24"/>
        </w:rPr>
        <w:t>y</w:t>
      </w:r>
      <w:r w:rsidR="006B3946" w:rsidRPr="001E097F">
        <w:rPr>
          <w:i/>
          <w:iCs/>
          <w:szCs w:val="24"/>
          <w:vertAlign w:val="subscript"/>
        </w:rPr>
        <w:t>i</w:t>
      </w:r>
      <w:proofErr w:type="spellEnd"/>
      <w:r w:rsidR="006B3946" w:rsidRPr="001E097F">
        <w:rPr>
          <w:szCs w:val="24"/>
        </w:rPr>
        <w:t>=1) = logit-¹( β</w:t>
      </w:r>
      <w:r w:rsidR="006B3946" w:rsidRPr="001E097F">
        <w:rPr>
          <w:szCs w:val="24"/>
          <w:vertAlign w:val="subscript"/>
        </w:rPr>
        <w:t>0</w:t>
      </w:r>
      <w:r w:rsidR="006B3946" w:rsidRPr="001E097F">
        <w:rPr>
          <w:szCs w:val="24"/>
        </w:rPr>
        <w:t xml:space="preserve">  + β</w:t>
      </w:r>
      <w:r w:rsidR="006B3946" w:rsidRPr="001E097F">
        <w:rPr>
          <w:szCs w:val="24"/>
          <w:vertAlign w:val="subscript"/>
        </w:rPr>
        <w:t>1</w:t>
      </w:r>
      <w:r w:rsidR="006B3946" w:rsidRPr="001E097F">
        <w:rPr>
          <w:szCs w:val="24"/>
        </w:rPr>
        <w:t>Female</w:t>
      </w:r>
      <w:r w:rsidR="006B3946" w:rsidRPr="001E097F">
        <w:rPr>
          <w:szCs w:val="24"/>
          <w:vertAlign w:val="subscript"/>
        </w:rPr>
        <w:t>i</w:t>
      </w:r>
      <w:r w:rsidR="006B3946" w:rsidRPr="001E097F">
        <w:rPr>
          <w:szCs w:val="24"/>
        </w:rPr>
        <w:t xml:space="preserve"> </w:t>
      </w:r>
      <w:r w:rsidR="006B3946" w:rsidRPr="001E097F">
        <w:rPr>
          <w:szCs w:val="24"/>
          <w:vertAlign w:val="subscript"/>
        </w:rPr>
        <w:t xml:space="preserve"> </w:t>
      </w:r>
      <w:r w:rsidR="006B3946" w:rsidRPr="001E097F">
        <w:rPr>
          <w:szCs w:val="24"/>
        </w:rPr>
        <w:t>+  β</w:t>
      </w:r>
      <w:r w:rsidR="006B3946" w:rsidRPr="001E097F">
        <w:rPr>
          <w:szCs w:val="24"/>
          <w:vertAlign w:val="subscript"/>
        </w:rPr>
        <w:t>2</w:t>
      </w:r>
      <w:r w:rsidR="006B3946" w:rsidRPr="001E097F">
        <w:rPr>
          <w:szCs w:val="24"/>
        </w:rPr>
        <w:t>Black</w:t>
      </w:r>
      <w:r w:rsidR="006B3946" w:rsidRPr="001E097F">
        <w:rPr>
          <w:szCs w:val="24"/>
          <w:vertAlign w:val="subscript"/>
        </w:rPr>
        <w:t>i</w:t>
      </w:r>
      <w:r w:rsidR="006B3946" w:rsidRPr="001E097F">
        <w:rPr>
          <w:szCs w:val="24"/>
        </w:rPr>
        <w:t xml:space="preserve"> +  α</w:t>
      </w:r>
      <w:r w:rsidR="006B3946" w:rsidRPr="001E097F">
        <w:rPr>
          <w:szCs w:val="24"/>
          <w:vertAlign w:val="subscript"/>
        </w:rPr>
        <w:t>j[i]</w:t>
      </w:r>
      <w:r w:rsidR="006B3946" w:rsidRPr="001E097F">
        <w:rPr>
          <w:szCs w:val="24"/>
        </w:rPr>
        <w:t xml:space="preserve"> + α</w:t>
      </w:r>
      <w:r w:rsidR="006B3946" w:rsidRPr="001E097F">
        <w:rPr>
          <w:szCs w:val="24"/>
          <w:vertAlign w:val="subscript"/>
        </w:rPr>
        <w:t xml:space="preserve">k[i] </w:t>
      </w:r>
      <w:r w:rsidR="006B3946" w:rsidRPr="001E097F">
        <w:rPr>
          <w:szCs w:val="24"/>
        </w:rPr>
        <w:t>+ α</w:t>
      </w:r>
      <w:r w:rsidR="006B3946" w:rsidRPr="001E097F">
        <w:rPr>
          <w:szCs w:val="24"/>
          <w:vertAlign w:val="subscript"/>
        </w:rPr>
        <w:t>l[i]</w:t>
      </w:r>
      <w:r w:rsidR="006B3946" w:rsidRPr="001E097F">
        <w:rPr>
          <w:szCs w:val="24"/>
        </w:rPr>
        <w:t>)</w:t>
      </w:r>
    </w:p>
    <w:p w:rsidR="006B3946" w:rsidRPr="001E097F" w:rsidRDefault="006B3946" w:rsidP="00C626F6">
      <w:pPr>
        <w:ind w:firstLine="720"/>
        <w:contextualSpacing/>
        <w:rPr>
          <w:bCs/>
          <w:szCs w:val="24"/>
        </w:rPr>
      </w:pPr>
    </w:p>
    <w:p w:rsidR="006B3946" w:rsidRPr="001E097F" w:rsidRDefault="007C157A" w:rsidP="00C626F6">
      <w:pPr>
        <w:ind w:firstLine="720"/>
        <w:contextualSpacing/>
        <w:rPr>
          <w:szCs w:val="24"/>
        </w:rPr>
      </w:pPr>
      <w:r w:rsidRPr="001E097F">
        <w:rPr>
          <w:bCs/>
          <w:szCs w:val="24"/>
        </w:rPr>
        <w:t>(2</w:t>
      </w:r>
      <w:r w:rsidR="006B3946" w:rsidRPr="001E097F">
        <w:rPr>
          <w:bCs/>
          <w:szCs w:val="24"/>
        </w:rPr>
        <w:t>)</w:t>
      </w:r>
      <w:r w:rsidR="006B3946" w:rsidRPr="001E097F">
        <w:rPr>
          <w:b/>
          <w:bCs/>
          <w:szCs w:val="24"/>
        </w:rPr>
        <w:tab/>
      </w:r>
      <w:r w:rsidR="006B3946" w:rsidRPr="001E097F">
        <w:rPr>
          <w:b/>
          <w:bCs/>
          <w:szCs w:val="24"/>
        </w:rPr>
        <w:tab/>
        <w:t xml:space="preserve">Level 2:  </w:t>
      </w:r>
      <w:r w:rsidR="006B3946" w:rsidRPr="001E097F">
        <w:rPr>
          <w:szCs w:val="24"/>
        </w:rPr>
        <w:t>α</w:t>
      </w:r>
      <w:r w:rsidR="006B3946" w:rsidRPr="001E097F">
        <w:rPr>
          <w:szCs w:val="24"/>
          <w:vertAlign w:val="subscript"/>
        </w:rPr>
        <w:t>j</w:t>
      </w:r>
      <w:r w:rsidR="006B3946" w:rsidRPr="001E097F">
        <w:rPr>
          <w:szCs w:val="24"/>
        </w:rPr>
        <w:t xml:space="preserve"> ~ N (0, σ²</w:t>
      </w:r>
      <w:r w:rsidR="006B3946" w:rsidRPr="001E097F">
        <w:rPr>
          <w:szCs w:val="24"/>
          <w:vertAlign w:val="subscript"/>
        </w:rPr>
        <w:t>state</w:t>
      </w:r>
      <w:r w:rsidR="006B3946" w:rsidRPr="001E097F">
        <w:rPr>
          <w:szCs w:val="24"/>
        </w:rPr>
        <w:t xml:space="preserve">) for </w:t>
      </w:r>
      <w:r w:rsidR="006B3946" w:rsidRPr="001E097F">
        <w:rPr>
          <w:i/>
          <w:iCs/>
          <w:szCs w:val="24"/>
        </w:rPr>
        <w:t>j</w:t>
      </w:r>
      <w:r w:rsidR="006B3946" w:rsidRPr="001E097F">
        <w:rPr>
          <w:szCs w:val="24"/>
        </w:rPr>
        <w:t>=1,…</w:t>
      </w:r>
      <w:proofErr w:type="gramStart"/>
      <w:r w:rsidR="006B3946" w:rsidRPr="001E097F">
        <w:rPr>
          <w:szCs w:val="24"/>
        </w:rPr>
        <w:t>,51</w:t>
      </w:r>
      <w:proofErr w:type="gramEnd"/>
      <w:r w:rsidR="006B3946" w:rsidRPr="001E097F">
        <w:rPr>
          <w:szCs w:val="24"/>
        </w:rPr>
        <w:t xml:space="preserve"> </w:t>
      </w:r>
    </w:p>
    <w:p w:rsidR="006B3946" w:rsidRPr="001E097F" w:rsidRDefault="006B3946" w:rsidP="00C626F6">
      <w:pPr>
        <w:ind w:firstLine="720"/>
        <w:contextualSpacing/>
        <w:rPr>
          <w:szCs w:val="24"/>
        </w:rPr>
      </w:pPr>
      <w:r w:rsidRPr="001E097F">
        <w:rPr>
          <w:szCs w:val="24"/>
        </w:rPr>
        <w:tab/>
        <w:t xml:space="preserve">    </w:t>
      </w:r>
      <w:r w:rsidRPr="001E097F">
        <w:rPr>
          <w:szCs w:val="24"/>
        </w:rPr>
        <w:tab/>
      </w:r>
      <w:r w:rsidRPr="001E097F">
        <w:rPr>
          <w:szCs w:val="24"/>
        </w:rPr>
        <w:tab/>
        <w:t xml:space="preserve">    </w:t>
      </w:r>
      <w:proofErr w:type="gramStart"/>
      <w:r w:rsidRPr="001E097F">
        <w:rPr>
          <w:szCs w:val="24"/>
        </w:rPr>
        <w:t>α</w:t>
      </w:r>
      <w:r w:rsidRPr="001E097F">
        <w:rPr>
          <w:szCs w:val="24"/>
          <w:vertAlign w:val="subscript"/>
        </w:rPr>
        <w:t>k</w:t>
      </w:r>
      <w:proofErr w:type="gramEnd"/>
      <w:r w:rsidRPr="001E097F">
        <w:rPr>
          <w:szCs w:val="24"/>
        </w:rPr>
        <w:t xml:space="preserve"> ~ N (0,σ²</w:t>
      </w:r>
      <w:r w:rsidRPr="001E097F">
        <w:rPr>
          <w:szCs w:val="24"/>
          <w:vertAlign w:val="subscript"/>
        </w:rPr>
        <w:t>age</w:t>
      </w:r>
      <w:r w:rsidRPr="001E097F">
        <w:rPr>
          <w:szCs w:val="24"/>
        </w:rPr>
        <w:t xml:space="preserve">) for </w:t>
      </w:r>
      <w:r w:rsidRPr="001E097F">
        <w:rPr>
          <w:i/>
          <w:iCs/>
          <w:szCs w:val="24"/>
        </w:rPr>
        <w:t>k</w:t>
      </w:r>
      <w:r w:rsidRPr="001E097F">
        <w:rPr>
          <w:szCs w:val="24"/>
        </w:rPr>
        <w:t>=1,…,4</w:t>
      </w:r>
    </w:p>
    <w:p w:rsidR="006B3946" w:rsidRPr="001E097F" w:rsidRDefault="006B3946" w:rsidP="005A2F23">
      <w:pPr>
        <w:ind w:firstLine="720"/>
        <w:contextualSpacing/>
        <w:rPr>
          <w:szCs w:val="24"/>
        </w:rPr>
      </w:pPr>
      <w:r w:rsidRPr="001E097F">
        <w:rPr>
          <w:szCs w:val="24"/>
        </w:rPr>
        <w:tab/>
        <w:t xml:space="preserve">    </w:t>
      </w:r>
      <w:r w:rsidRPr="001E097F">
        <w:rPr>
          <w:szCs w:val="24"/>
        </w:rPr>
        <w:tab/>
        <w:t xml:space="preserve">                </w:t>
      </w:r>
      <w:proofErr w:type="gramStart"/>
      <w:r w:rsidRPr="001E097F">
        <w:rPr>
          <w:szCs w:val="24"/>
        </w:rPr>
        <w:t>α</w:t>
      </w:r>
      <w:r w:rsidRPr="001E097F">
        <w:rPr>
          <w:szCs w:val="24"/>
          <w:vertAlign w:val="subscript"/>
        </w:rPr>
        <w:t>l</w:t>
      </w:r>
      <w:proofErr w:type="gramEnd"/>
      <w:r w:rsidRPr="001E097F">
        <w:rPr>
          <w:szCs w:val="24"/>
        </w:rPr>
        <w:t xml:space="preserve"> ~ N (0,σ²</w:t>
      </w:r>
      <w:r w:rsidRPr="001E097F">
        <w:rPr>
          <w:szCs w:val="24"/>
          <w:vertAlign w:val="subscript"/>
        </w:rPr>
        <w:t>education</w:t>
      </w:r>
      <w:r w:rsidRPr="001E097F">
        <w:rPr>
          <w:szCs w:val="24"/>
        </w:rPr>
        <w:t xml:space="preserve">) for </w:t>
      </w:r>
      <w:r w:rsidRPr="001E097F">
        <w:rPr>
          <w:i/>
          <w:iCs/>
          <w:szCs w:val="24"/>
        </w:rPr>
        <w:t>l</w:t>
      </w:r>
      <w:r w:rsidRPr="001E097F">
        <w:rPr>
          <w:szCs w:val="24"/>
        </w:rPr>
        <w:t xml:space="preserve">=1,…,4 </w:t>
      </w:r>
    </w:p>
    <w:p w:rsidR="00CD1970" w:rsidRPr="001E097F" w:rsidRDefault="00CD1970" w:rsidP="00C626F6">
      <w:pPr>
        <w:spacing w:line="480" w:lineRule="auto"/>
        <w:ind w:firstLine="720"/>
        <w:contextualSpacing/>
        <w:rPr>
          <w:szCs w:val="24"/>
        </w:rPr>
      </w:pPr>
    </w:p>
    <w:p w:rsidR="006B3946" w:rsidRPr="001E097F" w:rsidRDefault="006B3946" w:rsidP="00C626F6">
      <w:pPr>
        <w:spacing w:line="480" w:lineRule="auto"/>
        <w:ind w:firstLine="720"/>
        <w:contextualSpacing/>
        <w:rPr>
          <w:szCs w:val="24"/>
        </w:rPr>
      </w:pPr>
      <w:r w:rsidRPr="001E097F">
        <w:rPr>
          <w:szCs w:val="24"/>
        </w:rPr>
        <w:t xml:space="preserve">The next step is imputation.  </w:t>
      </w:r>
      <w:r w:rsidR="00E81FE4">
        <w:rPr>
          <w:szCs w:val="24"/>
        </w:rPr>
        <w:t xml:space="preserve">Like Pacheco, </w:t>
      </w:r>
      <w:r w:rsidRPr="001E097F">
        <w:rPr>
          <w:szCs w:val="24"/>
        </w:rPr>
        <w:t xml:space="preserve">I define each combination of demographic characteristics and state (for instance, a non-black, female, aged 18-29, with a high school degree from Connecticut) as a “person type.”  Each of the 3,264 person types has an associated probability of supporting a particular policy, which is modeled in the multilevel regression as a function of state, gender, age, race and education.  Imputation is conducted on each person type even if absent from the sample.  After imputation, we have </w:t>
      </w:r>
      <w:proofErr w:type="spellStart"/>
      <w:r w:rsidRPr="001E097F">
        <w:rPr>
          <w:i/>
          <w:szCs w:val="24"/>
        </w:rPr>
        <w:t>θ</w:t>
      </w:r>
      <w:r w:rsidRPr="001E097F">
        <w:rPr>
          <w:i/>
          <w:szCs w:val="24"/>
          <w:vertAlign w:val="subscript"/>
        </w:rPr>
        <w:t>c</w:t>
      </w:r>
      <w:proofErr w:type="spellEnd"/>
      <w:r w:rsidRPr="001E097F">
        <w:rPr>
          <w:szCs w:val="24"/>
        </w:rPr>
        <w:t>, which is the inverse logistic given the relevant predictors and their estimated coefficients (</w:t>
      </w:r>
      <w:proofErr w:type="spellStart"/>
      <w:r w:rsidRPr="001E097F">
        <w:rPr>
          <w:i/>
          <w:szCs w:val="24"/>
        </w:rPr>
        <w:t>θ</w:t>
      </w:r>
      <w:r w:rsidRPr="001E097F">
        <w:rPr>
          <w:i/>
          <w:szCs w:val="24"/>
          <w:vertAlign w:val="subscript"/>
        </w:rPr>
        <w:t>c</w:t>
      </w:r>
      <w:proofErr w:type="spellEnd"/>
      <w:r w:rsidRPr="001E097F">
        <w:rPr>
          <w:szCs w:val="24"/>
        </w:rPr>
        <w:t xml:space="preserve">, is an average based on 1,000 simulations with </w:t>
      </w:r>
      <w:r w:rsidRPr="001E097F">
        <w:rPr>
          <w:i/>
          <w:szCs w:val="24"/>
        </w:rPr>
        <w:t>c</w:t>
      </w:r>
      <w:r w:rsidRPr="001E097F">
        <w:rPr>
          <w:szCs w:val="24"/>
        </w:rPr>
        <w:t xml:space="preserve"> indexing the 3,264 unique combinations). </w:t>
      </w:r>
    </w:p>
    <w:p w:rsidR="006B3946" w:rsidRPr="001E097F" w:rsidRDefault="006B3946" w:rsidP="00C626F6">
      <w:pPr>
        <w:spacing w:line="480" w:lineRule="auto"/>
        <w:ind w:firstLine="720"/>
        <w:contextualSpacing/>
        <w:rPr>
          <w:szCs w:val="24"/>
        </w:rPr>
      </w:pPr>
      <w:r w:rsidRPr="001E097F">
        <w:rPr>
          <w:szCs w:val="24"/>
        </w:rPr>
        <w:t xml:space="preserve">The final stage is post-stratification.  Post-stratification corrects for differences between state samples and state populations by weighting the predicted values of each person type in each state by actual Census counts of that person type in a state.  For example, the 2000 Census reports that there were 581 people who were white, male, age 18-29, no high school degree, and living in Alabama: 1.7% of Alabama’s population.  The imputed opinion of each person type, </w:t>
      </w:r>
      <w:proofErr w:type="spellStart"/>
      <w:r w:rsidRPr="001E097F">
        <w:rPr>
          <w:i/>
          <w:szCs w:val="24"/>
        </w:rPr>
        <w:t>θ</w:t>
      </w:r>
      <w:r w:rsidRPr="001E097F">
        <w:rPr>
          <w:i/>
          <w:szCs w:val="24"/>
          <w:vertAlign w:val="subscript"/>
        </w:rPr>
        <w:t>c</w:t>
      </w:r>
      <w:proofErr w:type="spellEnd"/>
      <w:r w:rsidRPr="001E097F">
        <w:rPr>
          <w:i/>
          <w:szCs w:val="24"/>
        </w:rPr>
        <w:t xml:space="preserve">, </w:t>
      </w:r>
      <w:r w:rsidRPr="001E097F">
        <w:rPr>
          <w:szCs w:val="24"/>
        </w:rPr>
        <w:t>is then weighted by the corresponding population frequencies.  In the final step, we calculate the average response over each person type in each state and summarize to get point predictions and uncertainty intervals.</w:t>
      </w:r>
    </w:p>
    <w:p w:rsidR="006B3946" w:rsidRPr="001E097F" w:rsidRDefault="006B3946" w:rsidP="00CE3320">
      <w:pPr>
        <w:spacing w:line="480" w:lineRule="auto"/>
        <w:contextualSpacing/>
        <w:rPr>
          <w:bCs/>
          <w:i/>
          <w:szCs w:val="24"/>
        </w:rPr>
      </w:pPr>
      <w:r w:rsidRPr="001E097F">
        <w:rPr>
          <w:bCs/>
          <w:i/>
          <w:szCs w:val="24"/>
        </w:rPr>
        <w:t>Adding a Time Component</w:t>
      </w:r>
    </w:p>
    <w:p w:rsidR="00C275CC" w:rsidRPr="001E097F" w:rsidRDefault="00395880" w:rsidP="00CE3320">
      <w:pPr>
        <w:spacing w:line="480" w:lineRule="auto"/>
        <w:ind w:firstLine="720"/>
        <w:contextualSpacing/>
        <w:rPr>
          <w:szCs w:val="24"/>
        </w:rPr>
      </w:pPr>
      <w:r>
        <w:rPr>
          <w:iCs/>
          <w:szCs w:val="24"/>
        </w:rPr>
        <w:t>As suggested by Pacheco, I add a time component by pooling surveys across a small time frame.</w:t>
      </w:r>
      <w:r w:rsidR="006B3946" w:rsidRPr="001E097F">
        <w:rPr>
          <w:iCs/>
          <w:szCs w:val="24"/>
        </w:rPr>
        <w:t xml:space="preserve">  For both education and welfare, I employ </w:t>
      </w:r>
      <w:r w:rsidR="006B3946" w:rsidRPr="001E097F">
        <w:rPr>
          <w:szCs w:val="24"/>
        </w:rPr>
        <w:t xml:space="preserve">five year moving averages, pooling individual responds on surveys from the specified time.  For instance, to get point estimates for 1979 using </w:t>
      </w:r>
      <w:r w:rsidR="006B3946" w:rsidRPr="001E097F">
        <w:rPr>
          <w:szCs w:val="24"/>
        </w:rPr>
        <w:lastRenderedPageBreak/>
        <w:t xml:space="preserve">a five year pooled window, I combine estimates from 1977, 1978, 1979, 1980, and 1981 and then perform the MRP technique on this pooled dataset.  </w:t>
      </w:r>
      <w:r w:rsidR="004022A1" w:rsidRPr="001E097F">
        <w:rPr>
          <w:szCs w:val="24"/>
        </w:rPr>
        <w:t>It is important to note that the five year window may not include consecutive years</w:t>
      </w:r>
      <w:r w:rsidR="00C275CC" w:rsidRPr="001E097F">
        <w:rPr>
          <w:szCs w:val="24"/>
        </w:rPr>
        <w:t xml:space="preserve"> if the public opinion measure was not asked in a particular year</w:t>
      </w:r>
      <w:r w:rsidR="004022A1" w:rsidRPr="001E097F">
        <w:rPr>
          <w:szCs w:val="24"/>
        </w:rPr>
        <w:t xml:space="preserve">.  For instance, since all states are missing on both public opinion measures for 1995, 1994 estimates are obtained from pooling surveys from 1992, 1993, 1994, 1996, and 1998.  </w:t>
      </w:r>
    </w:p>
    <w:p w:rsidR="006B3946" w:rsidRPr="001E097F" w:rsidRDefault="00C275CC" w:rsidP="00CE3320">
      <w:pPr>
        <w:spacing w:line="480" w:lineRule="auto"/>
        <w:ind w:firstLine="720"/>
        <w:contextualSpacing/>
        <w:rPr>
          <w:szCs w:val="24"/>
        </w:rPr>
      </w:pPr>
      <w:r w:rsidRPr="001E097F">
        <w:rPr>
          <w:szCs w:val="24"/>
        </w:rPr>
        <w:t>The MRP</w:t>
      </w:r>
      <w:r w:rsidR="006B3946" w:rsidRPr="001E097F">
        <w:rPr>
          <w:szCs w:val="24"/>
        </w:rPr>
        <w:t xml:space="preserve"> process is repeated for each year after moving the time frame up a year at a time.  By pooling and taking the median year, the first two and last two years are missing for the five year window.  Hence, for attitudes towards education, I have yearly </w:t>
      </w:r>
      <w:r w:rsidR="00E1552E" w:rsidRPr="001E097F">
        <w:rPr>
          <w:szCs w:val="24"/>
        </w:rPr>
        <w:t xml:space="preserve">state </w:t>
      </w:r>
      <w:r w:rsidR="006B3946" w:rsidRPr="001E097F">
        <w:rPr>
          <w:szCs w:val="24"/>
        </w:rPr>
        <w:t xml:space="preserve">estimates from 1975-2000 </w:t>
      </w:r>
      <w:r w:rsidR="00E1552E" w:rsidRPr="001E097F">
        <w:rPr>
          <w:szCs w:val="24"/>
        </w:rPr>
        <w:t xml:space="preserve">and </w:t>
      </w:r>
      <w:r w:rsidR="006B3946" w:rsidRPr="001E097F">
        <w:rPr>
          <w:szCs w:val="24"/>
        </w:rPr>
        <w:t>for attitud</w:t>
      </w:r>
      <w:r w:rsidR="00E1552E" w:rsidRPr="001E097F">
        <w:rPr>
          <w:szCs w:val="24"/>
        </w:rPr>
        <w:t xml:space="preserve">es towards welfare, I have </w:t>
      </w:r>
      <w:r w:rsidR="006B3946" w:rsidRPr="001E097F">
        <w:rPr>
          <w:szCs w:val="24"/>
        </w:rPr>
        <w:t>yearly</w:t>
      </w:r>
      <w:r w:rsidR="00E1552E" w:rsidRPr="001E097F">
        <w:rPr>
          <w:szCs w:val="24"/>
        </w:rPr>
        <w:t xml:space="preserve"> state </w:t>
      </w:r>
      <w:r w:rsidR="006B3946" w:rsidRPr="001E097F">
        <w:rPr>
          <w:szCs w:val="24"/>
        </w:rPr>
        <w:t>estimate</w:t>
      </w:r>
      <w:r w:rsidR="007C157A" w:rsidRPr="001E097F">
        <w:rPr>
          <w:szCs w:val="24"/>
        </w:rPr>
        <w:t xml:space="preserve">s from 1974-2000.  Pacheco </w:t>
      </w:r>
      <w:r w:rsidR="006B3946" w:rsidRPr="001E097F">
        <w:rPr>
          <w:szCs w:val="24"/>
        </w:rPr>
        <w:t>shows that while there is a tradeoff between the reliability of estimates and sensitivity to very short-term shocks, the efficiency benefits of pooling over a small time period outweighs the costs of biasedness.</w:t>
      </w:r>
    </w:p>
    <w:p w:rsidR="001E097F" w:rsidRPr="001E097F" w:rsidRDefault="001E097F" w:rsidP="001E097F">
      <w:pPr>
        <w:spacing w:line="480" w:lineRule="auto"/>
        <w:contextualSpacing/>
        <w:rPr>
          <w:i/>
          <w:szCs w:val="24"/>
        </w:rPr>
      </w:pPr>
      <w:r w:rsidRPr="001E097F">
        <w:rPr>
          <w:i/>
          <w:szCs w:val="24"/>
        </w:rPr>
        <w:t>House Effects</w:t>
      </w:r>
      <w:r w:rsidR="001946E3">
        <w:rPr>
          <w:i/>
          <w:szCs w:val="24"/>
        </w:rPr>
        <w:t xml:space="preserve"> or Question Wording</w:t>
      </w:r>
    </w:p>
    <w:p w:rsidR="001E097F" w:rsidRPr="001E097F" w:rsidRDefault="001E097F" w:rsidP="001E097F">
      <w:pPr>
        <w:pStyle w:val="FootnoteText"/>
        <w:spacing w:line="480" w:lineRule="auto"/>
        <w:rPr>
          <w:sz w:val="24"/>
          <w:szCs w:val="24"/>
        </w:rPr>
      </w:pPr>
      <w:r w:rsidRPr="001E097F">
        <w:rPr>
          <w:sz w:val="24"/>
          <w:szCs w:val="24"/>
        </w:rPr>
        <w:tab/>
        <w:t xml:space="preserve">I depart from Pacheco (2011) in that I combine survey responses across various polling organizations to increase the time series data and reliability of the measures (see Table A1 for specific question wording).  This opens up the possibility that the observed dynamics are artificial, resulting from “house effects” or question wording.  The five year average deflates the possibility that house effects are causing changes in one particular year.  I also only use survey questions asked in identical ways to minimize the effects of question wording.  Finally, </w:t>
      </w:r>
      <w:r>
        <w:rPr>
          <w:sz w:val="24"/>
          <w:szCs w:val="24"/>
        </w:rPr>
        <w:t>as shown in Table</w:t>
      </w:r>
      <w:r w:rsidR="006466FF">
        <w:rPr>
          <w:sz w:val="24"/>
          <w:szCs w:val="24"/>
        </w:rPr>
        <w:t>s</w:t>
      </w:r>
      <w:r>
        <w:rPr>
          <w:sz w:val="24"/>
          <w:szCs w:val="24"/>
        </w:rPr>
        <w:t xml:space="preserve"> A2</w:t>
      </w:r>
      <w:r w:rsidR="006466FF">
        <w:rPr>
          <w:sz w:val="24"/>
          <w:szCs w:val="24"/>
        </w:rPr>
        <w:t xml:space="preserve"> and A3</w:t>
      </w:r>
      <w:r>
        <w:rPr>
          <w:sz w:val="24"/>
          <w:szCs w:val="24"/>
        </w:rPr>
        <w:t xml:space="preserve">, </w:t>
      </w:r>
      <w:r w:rsidRPr="001E097F">
        <w:rPr>
          <w:sz w:val="24"/>
          <w:szCs w:val="24"/>
        </w:rPr>
        <w:t xml:space="preserve">a comparison of frequencies across survey organizations in particular years shows that there are minimal differences </w:t>
      </w:r>
      <w:r>
        <w:rPr>
          <w:sz w:val="24"/>
          <w:szCs w:val="24"/>
        </w:rPr>
        <w:t>across organization</w:t>
      </w:r>
      <w:r w:rsidRPr="001E097F">
        <w:rPr>
          <w:sz w:val="24"/>
          <w:szCs w:val="24"/>
        </w:rPr>
        <w:t xml:space="preserve">.  Thus, I am confident that changes in education or welfare preferences across the states are not artificially caused by survey differences.  </w:t>
      </w:r>
    </w:p>
    <w:p w:rsidR="006A483D" w:rsidRPr="001E097F" w:rsidRDefault="006A483D" w:rsidP="00BB4915">
      <w:pPr>
        <w:spacing w:line="480" w:lineRule="auto"/>
        <w:ind w:firstLine="720"/>
        <w:contextualSpacing/>
        <w:rPr>
          <w:szCs w:val="24"/>
        </w:rPr>
        <w:sectPr w:rsidR="006A483D" w:rsidRPr="001E097F" w:rsidSect="007C157A">
          <w:footerReference w:type="default" r:id="rId8"/>
          <w:pgSz w:w="12240" w:h="15840"/>
          <w:pgMar w:top="1440" w:right="1440" w:bottom="1440" w:left="1440" w:header="720" w:footer="720" w:gutter="0"/>
          <w:cols w:space="720"/>
          <w:docGrid w:linePitch="360"/>
        </w:sectPr>
      </w:pPr>
    </w:p>
    <w:p w:rsidR="007C157A" w:rsidRDefault="007C157A" w:rsidP="007C157A">
      <w:pPr>
        <w:spacing w:line="480" w:lineRule="auto"/>
        <w:contextualSpacing/>
        <w:rPr>
          <w:szCs w:val="24"/>
        </w:rPr>
      </w:pPr>
      <w:r w:rsidRPr="001E097F">
        <w:rPr>
          <w:noProof/>
          <w:szCs w:val="24"/>
        </w:rPr>
        <w:lastRenderedPageBreak/>
        <w:drawing>
          <wp:inline distT="0" distB="0" distL="0" distR="0" wp14:anchorId="3B99B687" wp14:editId="12FC3176">
            <wp:extent cx="8229600" cy="542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29600" cy="5425440"/>
                    </a:xfrm>
                    <a:prstGeom prst="rect">
                      <a:avLst/>
                    </a:prstGeom>
                    <a:noFill/>
                    <a:ln w="9525">
                      <a:noFill/>
                      <a:miter lim="800000"/>
                      <a:headEnd/>
                      <a:tailEnd/>
                    </a:ln>
                  </pic:spPr>
                </pic:pic>
              </a:graphicData>
            </a:graphic>
          </wp:inline>
        </w:drawing>
      </w:r>
    </w:p>
    <w:p w:rsidR="006466FF" w:rsidRDefault="006466FF" w:rsidP="007C157A">
      <w:pPr>
        <w:spacing w:line="480" w:lineRule="auto"/>
        <w:contextualSpacing/>
        <w:rPr>
          <w:szCs w:val="24"/>
        </w:rPr>
      </w:pPr>
    </w:p>
    <w:p w:rsidR="00183C4C" w:rsidRPr="00183C4C" w:rsidRDefault="00183C4C" w:rsidP="00183C4C">
      <w:pPr>
        <w:pStyle w:val="Caption"/>
        <w:keepNext/>
        <w:jc w:val="center"/>
        <w:rPr>
          <w:color w:val="auto"/>
          <w:sz w:val="24"/>
          <w:szCs w:val="24"/>
        </w:rPr>
      </w:pPr>
      <w:r w:rsidRPr="00183C4C">
        <w:rPr>
          <w:color w:val="auto"/>
          <w:sz w:val="24"/>
          <w:szCs w:val="24"/>
        </w:rPr>
        <w:lastRenderedPageBreak/>
        <w:t>Table A2 Raw Frequencies of Education Spending Opinion across Survey Organizations</w:t>
      </w:r>
    </w:p>
    <w:p w:rsidR="006466FF" w:rsidRDefault="006466FF" w:rsidP="001946E3">
      <w:pPr>
        <w:spacing w:line="480" w:lineRule="auto"/>
        <w:ind w:left="-432"/>
        <w:contextualSpacing/>
        <w:rPr>
          <w:szCs w:val="24"/>
        </w:rPr>
      </w:pPr>
      <w:r w:rsidRPr="006466FF">
        <w:rPr>
          <w:noProof/>
        </w:rPr>
        <w:drawing>
          <wp:inline distT="0" distB="0" distL="0" distR="0" wp14:anchorId="4D3F5C68" wp14:editId="12C8D6D4">
            <wp:extent cx="8873154" cy="3975652"/>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3154" cy="3975652"/>
                    </a:xfrm>
                    <a:prstGeom prst="rect">
                      <a:avLst/>
                    </a:prstGeom>
                    <a:noFill/>
                    <a:ln>
                      <a:noFill/>
                    </a:ln>
                  </pic:spPr>
                </pic:pic>
              </a:graphicData>
            </a:graphic>
          </wp:inline>
        </w:drawing>
      </w:r>
    </w:p>
    <w:p w:rsidR="006466FF" w:rsidRDefault="006466FF" w:rsidP="007C157A">
      <w:pPr>
        <w:spacing w:line="480" w:lineRule="auto"/>
        <w:contextualSpacing/>
        <w:rPr>
          <w:szCs w:val="24"/>
        </w:rPr>
      </w:pPr>
    </w:p>
    <w:p w:rsidR="006466FF" w:rsidRDefault="006466FF" w:rsidP="007C157A">
      <w:pPr>
        <w:spacing w:line="480" w:lineRule="auto"/>
        <w:contextualSpacing/>
        <w:rPr>
          <w:szCs w:val="24"/>
        </w:rPr>
      </w:pPr>
    </w:p>
    <w:p w:rsidR="006466FF" w:rsidRDefault="006466FF" w:rsidP="007C157A">
      <w:pPr>
        <w:spacing w:line="480" w:lineRule="auto"/>
        <w:contextualSpacing/>
        <w:rPr>
          <w:szCs w:val="24"/>
        </w:rPr>
      </w:pPr>
    </w:p>
    <w:p w:rsidR="00183C4C" w:rsidRPr="00183C4C" w:rsidRDefault="00183C4C" w:rsidP="00183C4C">
      <w:pPr>
        <w:pStyle w:val="Caption"/>
        <w:keepNext/>
        <w:jc w:val="center"/>
        <w:rPr>
          <w:color w:val="auto"/>
          <w:sz w:val="24"/>
          <w:szCs w:val="24"/>
        </w:rPr>
      </w:pPr>
      <w:r w:rsidRPr="00183C4C">
        <w:rPr>
          <w:color w:val="auto"/>
          <w:sz w:val="24"/>
          <w:szCs w:val="24"/>
        </w:rPr>
        <w:lastRenderedPageBreak/>
        <w:t>Table A3 Raw Frequencies of Welfare Spending Opinion across Survey Organizations</w:t>
      </w:r>
    </w:p>
    <w:p w:rsidR="006466FF" w:rsidRPr="001E097F" w:rsidRDefault="006466FF" w:rsidP="001946E3">
      <w:pPr>
        <w:spacing w:line="480" w:lineRule="auto"/>
        <w:ind w:left="-432"/>
        <w:contextualSpacing/>
        <w:rPr>
          <w:szCs w:val="24"/>
        </w:rPr>
        <w:sectPr w:rsidR="006466FF" w:rsidRPr="001E097F" w:rsidSect="007C157A">
          <w:pgSz w:w="15840" w:h="12240" w:orient="landscape"/>
          <w:pgMar w:top="1440" w:right="1440" w:bottom="1440" w:left="1440" w:header="720" w:footer="720" w:gutter="0"/>
          <w:cols w:space="720"/>
          <w:docGrid w:linePitch="360"/>
        </w:sectPr>
      </w:pPr>
      <w:r w:rsidRPr="006466FF">
        <w:rPr>
          <w:noProof/>
        </w:rPr>
        <w:drawing>
          <wp:inline distT="0" distB="0" distL="0" distR="0" wp14:anchorId="1F906F23" wp14:editId="03045501">
            <wp:extent cx="9033178" cy="39995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8184" cy="4001722"/>
                    </a:xfrm>
                    <a:prstGeom prst="rect">
                      <a:avLst/>
                    </a:prstGeom>
                    <a:noFill/>
                    <a:ln>
                      <a:noFill/>
                    </a:ln>
                  </pic:spPr>
                </pic:pic>
              </a:graphicData>
            </a:graphic>
          </wp:inline>
        </w:drawing>
      </w:r>
    </w:p>
    <w:p w:rsidR="00183943" w:rsidRPr="00183943" w:rsidRDefault="00183943" w:rsidP="00183943">
      <w:pPr>
        <w:pStyle w:val="Caption"/>
        <w:keepNext/>
        <w:jc w:val="center"/>
        <w:rPr>
          <w:color w:val="auto"/>
          <w:sz w:val="24"/>
          <w:szCs w:val="24"/>
        </w:rPr>
      </w:pPr>
      <w:r w:rsidRPr="00183943">
        <w:rPr>
          <w:color w:val="auto"/>
          <w:sz w:val="24"/>
          <w:szCs w:val="24"/>
        </w:rPr>
        <w:lastRenderedPageBreak/>
        <w:t>Table A4. Descriptive Statistics for All Variables</w:t>
      </w:r>
    </w:p>
    <w:p w:rsidR="00E06023" w:rsidRPr="001E097F" w:rsidRDefault="00594C68" w:rsidP="00183943">
      <w:pPr>
        <w:spacing w:line="480" w:lineRule="auto"/>
        <w:ind w:left="-432"/>
        <w:contextualSpacing/>
        <w:rPr>
          <w:szCs w:val="24"/>
        </w:rPr>
      </w:pPr>
      <w:r w:rsidRPr="00594C68">
        <w:drawing>
          <wp:inline distT="0" distB="0" distL="0" distR="0" wp14:anchorId="1BD5ED00" wp14:editId="78F1D41E">
            <wp:extent cx="5943600" cy="418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80720"/>
                    </a:xfrm>
                    <a:prstGeom prst="rect">
                      <a:avLst/>
                    </a:prstGeom>
                    <a:noFill/>
                    <a:ln>
                      <a:noFill/>
                    </a:ln>
                  </pic:spPr>
                </pic:pic>
              </a:graphicData>
            </a:graphic>
          </wp:inline>
        </w:drawing>
      </w:r>
      <w:bookmarkStart w:id="0" w:name="_GoBack"/>
      <w:bookmarkEnd w:id="0"/>
    </w:p>
    <w:sectPr w:rsidR="00E06023" w:rsidRPr="001E097F" w:rsidSect="006A48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B7" w:rsidRDefault="006230B7" w:rsidP="005A2F23">
      <w:r>
        <w:separator/>
      </w:r>
    </w:p>
  </w:endnote>
  <w:endnote w:type="continuationSeparator" w:id="0">
    <w:p w:rsidR="006230B7" w:rsidRDefault="006230B7" w:rsidP="005A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46" w:rsidRDefault="008371B6">
    <w:pPr>
      <w:pStyle w:val="Footer"/>
      <w:jc w:val="right"/>
    </w:pPr>
    <w:r>
      <w:fldChar w:fldCharType="begin"/>
    </w:r>
    <w:r>
      <w:instrText xml:space="preserve"> PAGE   \* MERGEFORMAT </w:instrText>
    </w:r>
    <w:r>
      <w:fldChar w:fldCharType="separate"/>
    </w:r>
    <w:r w:rsidR="00594C68">
      <w:rPr>
        <w:noProof/>
      </w:rPr>
      <w:t>7</w:t>
    </w:r>
    <w:r>
      <w:rPr>
        <w:noProof/>
      </w:rPr>
      <w:fldChar w:fldCharType="end"/>
    </w:r>
  </w:p>
  <w:p w:rsidR="006B3946" w:rsidRDefault="006B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B7" w:rsidRDefault="006230B7" w:rsidP="005A2F23">
      <w:r>
        <w:separator/>
      </w:r>
    </w:p>
  </w:footnote>
  <w:footnote w:type="continuationSeparator" w:id="0">
    <w:p w:rsidR="006230B7" w:rsidRDefault="006230B7" w:rsidP="005A2F23">
      <w:r>
        <w:continuationSeparator/>
      </w:r>
    </w:p>
  </w:footnote>
  <w:footnote w:id="1">
    <w:p w:rsidR="006B3946" w:rsidRPr="00946623" w:rsidRDefault="006B3946" w:rsidP="00946623">
      <w:pPr>
        <w:pStyle w:val="FootnoteText"/>
        <w:spacing w:line="480" w:lineRule="auto"/>
        <w:rPr>
          <w:sz w:val="24"/>
          <w:szCs w:val="24"/>
        </w:rPr>
      </w:pPr>
      <w:r w:rsidRPr="00946623">
        <w:rPr>
          <w:rStyle w:val="FootnoteReference"/>
          <w:sz w:val="24"/>
          <w:szCs w:val="24"/>
        </w:rPr>
        <w:footnoteRef/>
      </w:r>
      <w:r w:rsidRPr="00946623">
        <w:rPr>
          <w:sz w:val="24"/>
          <w:szCs w:val="24"/>
        </w:rPr>
        <w:t xml:space="preserve"> Following Park et al. (2004; 2006) and </w:t>
      </w:r>
      <w:proofErr w:type="spellStart"/>
      <w:r w:rsidRPr="00946623">
        <w:rPr>
          <w:sz w:val="24"/>
          <w:szCs w:val="24"/>
        </w:rPr>
        <w:t>Gelman</w:t>
      </w:r>
      <w:proofErr w:type="spellEnd"/>
      <w:r w:rsidRPr="00946623">
        <w:rPr>
          <w:sz w:val="24"/>
          <w:szCs w:val="24"/>
        </w:rPr>
        <w:t xml:space="preserve"> and Hill (2007), I fit the model using the Bayesian software </w:t>
      </w:r>
      <w:proofErr w:type="spellStart"/>
      <w:r w:rsidRPr="00946623">
        <w:rPr>
          <w:i/>
          <w:iCs/>
          <w:sz w:val="24"/>
          <w:szCs w:val="24"/>
        </w:rPr>
        <w:t>WinBugs</w:t>
      </w:r>
      <w:proofErr w:type="spellEnd"/>
      <w:r w:rsidRPr="00946623">
        <w:rPr>
          <w:sz w:val="24"/>
          <w:szCs w:val="24"/>
        </w:rPr>
        <w:t xml:space="preserve"> (</w:t>
      </w:r>
      <w:proofErr w:type="spellStart"/>
      <w:r w:rsidRPr="00946623">
        <w:rPr>
          <w:sz w:val="24"/>
          <w:szCs w:val="24"/>
        </w:rPr>
        <w:t>Spiegelhalter</w:t>
      </w:r>
      <w:proofErr w:type="spellEnd"/>
      <w:r w:rsidRPr="00946623">
        <w:rPr>
          <w:sz w:val="24"/>
          <w:szCs w:val="24"/>
        </w:rPr>
        <w:t xml:space="preserve"> et al. 1999) as called from R (R Development Core Team 2003) using </w:t>
      </w:r>
      <w:proofErr w:type="spellStart"/>
      <w:r w:rsidRPr="00946623">
        <w:rPr>
          <w:sz w:val="24"/>
          <w:szCs w:val="24"/>
        </w:rPr>
        <w:t>Gelman’s</w:t>
      </w:r>
      <w:proofErr w:type="spellEnd"/>
      <w:r w:rsidRPr="00946623">
        <w:rPr>
          <w:sz w:val="24"/>
          <w:szCs w:val="24"/>
        </w:rPr>
        <w:t xml:space="preserve"> (2003) </w:t>
      </w:r>
      <w:proofErr w:type="spellStart"/>
      <w:r w:rsidRPr="00946623">
        <w:rPr>
          <w:i/>
          <w:iCs/>
          <w:sz w:val="24"/>
          <w:szCs w:val="24"/>
        </w:rPr>
        <w:t>Bugs.R</w:t>
      </w:r>
      <w:proofErr w:type="spellEnd"/>
      <w:r w:rsidRPr="00946623">
        <w:rPr>
          <w:i/>
          <w:iCs/>
          <w:sz w:val="24"/>
          <w:szCs w:val="24"/>
        </w:rPr>
        <w:t>.</w:t>
      </w:r>
      <w:r w:rsidRPr="00946623">
        <w:rPr>
          <w:sz w:val="24"/>
          <w:szCs w:val="24"/>
        </w:rPr>
        <w:t xml:space="preserve">  Bayesian multilevel models are especially useful for more complicated multilevel models, for example those with non-nested components, and also allow the estimation of uncertainty by using prior distributions, which are given to all parameters (</w:t>
      </w:r>
      <w:proofErr w:type="spellStart"/>
      <w:r w:rsidRPr="00946623">
        <w:rPr>
          <w:sz w:val="24"/>
          <w:szCs w:val="24"/>
        </w:rPr>
        <w:t>Gelman</w:t>
      </w:r>
      <w:proofErr w:type="spellEnd"/>
      <w:r w:rsidRPr="00946623">
        <w:rPr>
          <w:sz w:val="24"/>
          <w:szCs w:val="24"/>
        </w:rPr>
        <w:t xml:space="preserve"> &amp; Hill 2007 345).  Parameters can then be drawn from these distributions over a number of simulations.  I assign normal distributions to the coefficients with means of 0 and standard deviations σ²</w:t>
      </w:r>
      <w:r w:rsidRPr="00946623">
        <w:rPr>
          <w:sz w:val="24"/>
          <w:szCs w:val="24"/>
          <w:vertAlign w:val="subscript"/>
        </w:rPr>
        <w:t xml:space="preserve">state, </w:t>
      </w:r>
      <w:r w:rsidRPr="00946623">
        <w:rPr>
          <w:sz w:val="24"/>
          <w:szCs w:val="24"/>
        </w:rPr>
        <w:t>σ²</w:t>
      </w:r>
      <w:r w:rsidRPr="00946623">
        <w:rPr>
          <w:sz w:val="24"/>
          <w:szCs w:val="24"/>
          <w:vertAlign w:val="subscript"/>
        </w:rPr>
        <w:t xml:space="preserve">age, </w:t>
      </w:r>
      <w:r w:rsidRPr="00946623">
        <w:rPr>
          <w:sz w:val="24"/>
          <w:szCs w:val="24"/>
        </w:rPr>
        <w:t>σ²</w:t>
      </w:r>
      <w:r w:rsidRPr="00946623">
        <w:rPr>
          <w:sz w:val="24"/>
          <w:szCs w:val="24"/>
          <w:vertAlign w:val="subscript"/>
        </w:rPr>
        <w:t xml:space="preserve">educ, </w:t>
      </w:r>
      <w:r w:rsidRPr="00946623">
        <w:rPr>
          <w:sz w:val="24"/>
          <w:szCs w:val="24"/>
        </w:rPr>
        <w:t>estimated from the data given non-informative uniform prior densities (Park et al. 2004 378).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13"/>
    <w:rsid w:val="00000F30"/>
    <w:rsid w:val="00020980"/>
    <w:rsid w:val="000263D4"/>
    <w:rsid w:val="000269A5"/>
    <w:rsid w:val="000658AC"/>
    <w:rsid w:val="000858CD"/>
    <w:rsid w:val="00090812"/>
    <w:rsid w:val="000920AB"/>
    <w:rsid w:val="00095392"/>
    <w:rsid w:val="000C5D1B"/>
    <w:rsid w:val="000F65EB"/>
    <w:rsid w:val="0013075D"/>
    <w:rsid w:val="001416F4"/>
    <w:rsid w:val="00156FA3"/>
    <w:rsid w:val="00183943"/>
    <w:rsid w:val="00183C4C"/>
    <w:rsid w:val="00186DDB"/>
    <w:rsid w:val="001946E3"/>
    <w:rsid w:val="001C5DA5"/>
    <w:rsid w:val="001D110A"/>
    <w:rsid w:val="001E097F"/>
    <w:rsid w:val="001E7589"/>
    <w:rsid w:val="00200167"/>
    <w:rsid w:val="00200FE0"/>
    <w:rsid w:val="00232C9E"/>
    <w:rsid w:val="00233854"/>
    <w:rsid w:val="002641AB"/>
    <w:rsid w:val="00296452"/>
    <w:rsid w:val="002B26EE"/>
    <w:rsid w:val="002C34CE"/>
    <w:rsid w:val="002C57A5"/>
    <w:rsid w:val="002D1AEC"/>
    <w:rsid w:val="002D626C"/>
    <w:rsid w:val="003211DD"/>
    <w:rsid w:val="00327A84"/>
    <w:rsid w:val="003407C0"/>
    <w:rsid w:val="0035429B"/>
    <w:rsid w:val="003545E0"/>
    <w:rsid w:val="003666A1"/>
    <w:rsid w:val="00370836"/>
    <w:rsid w:val="0037307C"/>
    <w:rsid w:val="00395880"/>
    <w:rsid w:val="003B3497"/>
    <w:rsid w:val="004022A1"/>
    <w:rsid w:val="004047AA"/>
    <w:rsid w:val="00405459"/>
    <w:rsid w:val="00450CFB"/>
    <w:rsid w:val="0046214E"/>
    <w:rsid w:val="00466361"/>
    <w:rsid w:val="00470AA6"/>
    <w:rsid w:val="00481226"/>
    <w:rsid w:val="00490B15"/>
    <w:rsid w:val="004A18AD"/>
    <w:rsid w:val="004B10A9"/>
    <w:rsid w:val="0050344B"/>
    <w:rsid w:val="005045DC"/>
    <w:rsid w:val="00521F87"/>
    <w:rsid w:val="005265A1"/>
    <w:rsid w:val="00533C95"/>
    <w:rsid w:val="00594C68"/>
    <w:rsid w:val="005A151C"/>
    <w:rsid w:val="005A2F23"/>
    <w:rsid w:val="005B3DE6"/>
    <w:rsid w:val="005B6A72"/>
    <w:rsid w:val="005D0007"/>
    <w:rsid w:val="005D3A6D"/>
    <w:rsid w:val="005D3BD3"/>
    <w:rsid w:val="005D6D3E"/>
    <w:rsid w:val="0062072B"/>
    <w:rsid w:val="006230B7"/>
    <w:rsid w:val="00641382"/>
    <w:rsid w:val="006466FF"/>
    <w:rsid w:val="006507BC"/>
    <w:rsid w:val="0066099E"/>
    <w:rsid w:val="00675691"/>
    <w:rsid w:val="006758AE"/>
    <w:rsid w:val="006A2CB7"/>
    <w:rsid w:val="006A483D"/>
    <w:rsid w:val="006B3946"/>
    <w:rsid w:val="006B43CD"/>
    <w:rsid w:val="006B64F4"/>
    <w:rsid w:val="006C70EF"/>
    <w:rsid w:val="006F69B1"/>
    <w:rsid w:val="00700712"/>
    <w:rsid w:val="00722DDB"/>
    <w:rsid w:val="00740CDF"/>
    <w:rsid w:val="007429D0"/>
    <w:rsid w:val="00751263"/>
    <w:rsid w:val="00757F92"/>
    <w:rsid w:val="00771FFC"/>
    <w:rsid w:val="00772AE8"/>
    <w:rsid w:val="0079372A"/>
    <w:rsid w:val="007A5827"/>
    <w:rsid w:val="007C157A"/>
    <w:rsid w:val="007F056C"/>
    <w:rsid w:val="007F1F82"/>
    <w:rsid w:val="007F4C75"/>
    <w:rsid w:val="0082147E"/>
    <w:rsid w:val="008371B6"/>
    <w:rsid w:val="00864116"/>
    <w:rsid w:val="00892434"/>
    <w:rsid w:val="00892AB6"/>
    <w:rsid w:val="00896FC6"/>
    <w:rsid w:val="008A6A19"/>
    <w:rsid w:val="008B7082"/>
    <w:rsid w:val="008C3863"/>
    <w:rsid w:val="008E4768"/>
    <w:rsid w:val="008F26E4"/>
    <w:rsid w:val="008F2BF5"/>
    <w:rsid w:val="008F3CCA"/>
    <w:rsid w:val="008F4C8A"/>
    <w:rsid w:val="00913D40"/>
    <w:rsid w:val="00922F71"/>
    <w:rsid w:val="00946623"/>
    <w:rsid w:val="00951E95"/>
    <w:rsid w:val="0098304A"/>
    <w:rsid w:val="0099146A"/>
    <w:rsid w:val="009B1523"/>
    <w:rsid w:val="009B5B23"/>
    <w:rsid w:val="009B62ED"/>
    <w:rsid w:val="009B7714"/>
    <w:rsid w:val="009C41A3"/>
    <w:rsid w:val="009E5EF8"/>
    <w:rsid w:val="009F501F"/>
    <w:rsid w:val="00A436F9"/>
    <w:rsid w:val="00A51D41"/>
    <w:rsid w:val="00AA20C5"/>
    <w:rsid w:val="00AA354D"/>
    <w:rsid w:val="00AC1355"/>
    <w:rsid w:val="00AC19D7"/>
    <w:rsid w:val="00AC6008"/>
    <w:rsid w:val="00AC6A13"/>
    <w:rsid w:val="00AE45BD"/>
    <w:rsid w:val="00B02A88"/>
    <w:rsid w:val="00B17739"/>
    <w:rsid w:val="00B46B7B"/>
    <w:rsid w:val="00B7650B"/>
    <w:rsid w:val="00B85E91"/>
    <w:rsid w:val="00BB1501"/>
    <w:rsid w:val="00BB4915"/>
    <w:rsid w:val="00BC0EAA"/>
    <w:rsid w:val="00BD4B95"/>
    <w:rsid w:val="00BE0C06"/>
    <w:rsid w:val="00C108E0"/>
    <w:rsid w:val="00C20B7D"/>
    <w:rsid w:val="00C236C6"/>
    <w:rsid w:val="00C23B26"/>
    <w:rsid w:val="00C275CC"/>
    <w:rsid w:val="00C43AC2"/>
    <w:rsid w:val="00C572E2"/>
    <w:rsid w:val="00C626F6"/>
    <w:rsid w:val="00C8019F"/>
    <w:rsid w:val="00C97016"/>
    <w:rsid w:val="00CA55BD"/>
    <w:rsid w:val="00CA627A"/>
    <w:rsid w:val="00CB4B20"/>
    <w:rsid w:val="00CC5DE7"/>
    <w:rsid w:val="00CD1970"/>
    <w:rsid w:val="00CD21F4"/>
    <w:rsid w:val="00CE11CA"/>
    <w:rsid w:val="00CE3320"/>
    <w:rsid w:val="00CF0A49"/>
    <w:rsid w:val="00CF382F"/>
    <w:rsid w:val="00D2696C"/>
    <w:rsid w:val="00D31168"/>
    <w:rsid w:val="00D46269"/>
    <w:rsid w:val="00D47C52"/>
    <w:rsid w:val="00D50371"/>
    <w:rsid w:val="00D50F83"/>
    <w:rsid w:val="00D709BE"/>
    <w:rsid w:val="00D711DE"/>
    <w:rsid w:val="00D80BC9"/>
    <w:rsid w:val="00DD1CF9"/>
    <w:rsid w:val="00DE5783"/>
    <w:rsid w:val="00DE5B83"/>
    <w:rsid w:val="00E008B5"/>
    <w:rsid w:val="00E01E8C"/>
    <w:rsid w:val="00E03F4A"/>
    <w:rsid w:val="00E04921"/>
    <w:rsid w:val="00E06023"/>
    <w:rsid w:val="00E06071"/>
    <w:rsid w:val="00E1552E"/>
    <w:rsid w:val="00E36739"/>
    <w:rsid w:val="00E41E40"/>
    <w:rsid w:val="00E56DE4"/>
    <w:rsid w:val="00E63F41"/>
    <w:rsid w:val="00E70F4D"/>
    <w:rsid w:val="00E81FE4"/>
    <w:rsid w:val="00ED6741"/>
    <w:rsid w:val="00EE127D"/>
    <w:rsid w:val="00EE6B93"/>
    <w:rsid w:val="00EF11FA"/>
    <w:rsid w:val="00F008C5"/>
    <w:rsid w:val="00F04364"/>
    <w:rsid w:val="00F04E4D"/>
    <w:rsid w:val="00F17672"/>
    <w:rsid w:val="00F21B20"/>
    <w:rsid w:val="00F40B7B"/>
    <w:rsid w:val="00F4194C"/>
    <w:rsid w:val="00F431C6"/>
    <w:rsid w:val="00F545D5"/>
    <w:rsid w:val="00F55020"/>
    <w:rsid w:val="00F60971"/>
    <w:rsid w:val="00F61C25"/>
    <w:rsid w:val="00F723CE"/>
    <w:rsid w:val="00F84313"/>
    <w:rsid w:val="00FA7355"/>
    <w:rsid w:val="00FE072F"/>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F4"/>
    <w:rPr>
      <w:sz w:val="24"/>
      <w:szCs w:val="18"/>
    </w:rPr>
  </w:style>
  <w:style w:type="paragraph" w:styleId="Heading1">
    <w:name w:val="heading 1"/>
    <w:basedOn w:val="Normal"/>
    <w:next w:val="Normal"/>
    <w:link w:val="Heading1Char"/>
    <w:uiPriority w:val="99"/>
    <w:qFormat/>
    <w:rsid w:val="0082147E"/>
    <w:pPr>
      <w:keepNext/>
      <w:keepLines/>
      <w:spacing w:before="480"/>
      <w:outlineLvl w:val="0"/>
    </w:pPr>
    <w:rPr>
      <w:rFonts w:ascii="Cambria" w:eastAsia="Times New Roman" w:hAnsi="Cambria"/>
      <w:color w:val="365F91"/>
      <w:sz w:val="28"/>
      <w:szCs w:val="28"/>
    </w:rPr>
  </w:style>
  <w:style w:type="paragraph" w:styleId="Heading3">
    <w:name w:val="heading 3"/>
    <w:basedOn w:val="Normal"/>
    <w:next w:val="Normal"/>
    <w:link w:val="Heading3Char"/>
    <w:uiPriority w:val="99"/>
    <w:qFormat/>
    <w:rsid w:val="0082147E"/>
    <w:pPr>
      <w:keepNext/>
      <w:keepLines/>
      <w:spacing w:before="200"/>
      <w:outlineLvl w:val="2"/>
    </w:pPr>
    <w:rPr>
      <w:rFonts w:ascii="Cambria" w:eastAsia="Times New Roman"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47E"/>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82147E"/>
    <w:rPr>
      <w:rFonts w:ascii="Cambria" w:hAnsi="Cambria" w:cs="Times New Roman"/>
      <w:b/>
      <w:bCs/>
      <w:color w:val="4F81BD"/>
    </w:rPr>
  </w:style>
  <w:style w:type="paragraph" w:customStyle="1" w:styleId="ChapterHeading">
    <w:name w:val="Chapter Heading"/>
    <w:basedOn w:val="Heading1"/>
    <w:link w:val="ChapterHeadingChar"/>
    <w:autoRedefine/>
    <w:uiPriority w:val="99"/>
    <w:rsid w:val="0082147E"/>
    <w:pPr>
      <w:spacing w:before="0" w:line="480" w:lineRule="auto"/>
    </w:pPr>
    <w:rPr>
      <w:rFonts w:ascii="Times New Roman" w:hAnsi="Times New Roman"/>
      <w:color w:val="auto"/>
      <w:sz w:val="24"/>
    </w:rPr>
  </w:style>
  <w:style w:type="character" w:customStyle="1" w:styleId="ChapterHeadingChar">
    <w:name w:val="Chapter Heading Char"/>
    <w:basedOn w:val="Heading1Char"/>
    <w:link w:val="ChapterHeading"/>
    <w:uiPriority w:val="99"/>
    <w:locked/>
    <w:rsid w:val="0082147E"/>
    <w:rPr>
      <w:rFonts w:ascii="Cambria" w:hAnsi="Cambria" w:cs="Times New Roman"/>
      <w:b/>
      <w:bCs/>
      <w:color w:val="365F91"/>
      <w:sz w:val="28"/>
      <w:szCs w:val="28"/>
    </w:rPr>
  </w:style>
  <w:style w:type="paragraph" w:customStyle="1" w:styleId="Style1">
    <w:name w:val="Style1"/>
    <w:basedOn w:val="Heading3"/>
    <w:link w:val="Style1Char"/>
    <w:autoRedefine/>
    <w:uiPriority w:val="99"/>
    <w:rsid w:val="0082147E"/>
    <w:pPr>
      <w:spacing w:line="480" w:lineRule="auto"/>
    </w:pPr>
    <w:rPr>
      <w:rFonts w:ascii="Times New Roman" w:hAnsi="Times New Roman"/>
      <w:i/>
      <w:lang w:eastAsia="zh-CN"/>
    </w:rPr>
  </w:style>
  <w:style w:type="character" w:customStyle="1" w:styleId="Style1Char">
    <w:name w:val="Style1 Char"/>
    <w:basedOn w:val="Heading3Char"/>
    <w:link w:val="Style1"/>
    <w:uiPriority w:val="99"/>
    <w:locked/>
    <w:rsid w:val="0082147E"/>
    <w:rPr>
      <w:rFonts w:ascii="Cambria" w:hAnsi="Cambria" w:cs="Times New Roman"/>
      <w:b/>
      <w:bCs/>
      <w:i/>
      <w:color w:val="4F81BD"/>
      <w:lang w:eastAsia="zh-CN"/>
    </w:rPr>
  </w:style>
  <w:style w:type="paragraph" w:styleId="BalloonText">
    <w:name w:val="Balloon Text"/>
    <w:basedOn w:val="Normal"/>
    <w:link w:val="BalloonTextChar"/>
    <w:uiPriority w:val="99"/>
    <w:semiHidden/>
    <w:rsid w:val="00AC6A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A13"/>
    <w:rPr>
      <w:rFonts w:ascii="Tahoma" w:hAnsi="Tahoma" w:cs="Tahoma"/>
      <w:sz w:val="16"/>
      <w:szCs w:val="16"/>
    </w:rPr>
  </w:style>
  <w:style w:type="paragraph" w:styleId="FootnoteText">
    <w:name w:val="footnote text"/>
    <w:basedOn w:val="Normal"/>
    <w:link w:val="FootnoteTextChar"/>
    <w:rsid w:val="005A2F23"/>
    <w:rPr>
      <w:sz w:val="20"/>
      <w:szCs w:val="20"/>
    </w:rPr>
  </w:style>
  <w:style w:type="character" w:customStyle="1" w:styleId="FootnoteTextChar">
    <w:name w:val="Footnote Text Char"/>
    <w:basedOn w:val="DefaultParagraphFont"/>
    <w:link w:val="FootnoteText"/>
    <w:uiPriority w:val="99"/>
    <w:locked/>
    <w:rsid w:val="005A2F23"/>
    <w:rPr>
      <w:rFonts w:cs="Times New Roman"/>
      <w:sz w:val="20"/>
      <w:szCs w:val="20"/>
    </w:rPr>
  </w:style>
  <w:style w:type="character" w:styleId="FootnoteReference">
    <w:name w:val="footnote reference"/>
    <w:basedOn w:val="DefaultParagraphFont"/>
    <w:uiPriority w:val="99"/>
    <w:semiHidden/>
    <w:rsid w:val="005A2F23"/>
    <w:rPr>
      <w:rFonts w:cs="Times New Roman"/>
      <w:vertAlign w:val="superscript"/>
    </w:rPr>
  </w:style>
  <w:style w:type="paragraph" w:styleId="Header">
    <w:name w:val="header"/>
    <w:basedOn w:val="Normal"/>
    <w:link w:val="HeaderChar"/>
    <w:uiPriority w:val="99"/>
    <w:semiHidden/>
    <w:rsid w:val="00AC6008"/>
    <w:pPr>
      <w:tabs>
        <w:tab w:val="center" w:pos="4680"/>
        <w:tab w:val="right" w:pos="9360"/>
      </w:tabs>
    </w:pPr>
  </w:style>
  <w:style w:type="character" w:customStyle="1" w:styleId="HeaderChar">
    <w:name w:val="Header Char"/>
    <w:basedOn w:val="DefaultParagraphFont"/>
    <w:link w:val="Header"/>
    <w:uiPriority w:val="99"/>
    <w:semiHidden/>
    <w:locked/>
    <w:rsid w:val="00AC6008"/>
    <w:rPr>
      <w:rFonts w:cs="Times New Roman"/>
    </w:rPr>
  </w:style>
  <w:style w:type="paragraph" w:styleId="Footer">
    <w:name w:val="footer"/>
    <w:basedOn w:val="Normal"/>
    <w:link w:val="FooterChar"/>
    <w:uiPriority w:val="99"/>
    <w:rsid w:val="00AC6008"/>
    <w:pPr>
      <w:tabs>
        <w:tab w:val="center" w:pos="4680"/>
        <w:tab w:val="right" w:pos="9360"/>
      </w:tabs>
    </w:pPr>
  </w:style>
  <w:style w:type="character" w:customStyle="1" w:styleId="FooterChar">
    <w:name w:val="Footer Char"/>
    <w:basedOn w:val="DefaultParagraphFont"/>
    <w:link w:val="Footer"/>
    <w:uiPriority w:val="99"/>
    <w:locked/>
    <w:rsid w:val="00AC6008"/>
    <w:rPr>
      <w:rFonts w:cs="Times New Roman"/>
    </w:rPr>
  </w:style>
  <w:style w:type="paragraph" w:styleId="Caption">
    <w:name w:val="caption"/>
    <w:basedOn w:val="Normal"/>
    <w:next w:val="Normal"/>
    <w:semiHidden/>
    <w:unhideWhenUsed/>
    <w:qFormat/>
    <w:locked/>
    <w:rsid w:val="00183C4C"/>
    <w:pPr>
      <w:spacing w:after="200"/>
    </w:pPr>
    <w:rPr>
      <w:b/>
      <w:bCs/>
      <w:color w:val="4F81BD"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F4"/>
    <w:rPr>
      <w:sz w:val="24"/>
      <w:szCs w:val="18"/>
    </w:rPr>
  </w:style>
  <w:style w:type="paragraph" w:styleId="Heading1">
    <w:name w:val="heading 1"/>
    <w:basedOn w:val="Normal"/>
    <w:next w:val="Normal"/>
    <w:link w:val="Heading1Char"/>
    <w:uiPriority w:val="99"/>
    <w:qFormat/>
    <w:rsid w:val="0082147E"/>
    <w:pPr>
      <w:keepNext/>
      <w:keepLines/>
      <w:spacing w:before="480"/>
      <w:outlineLvl w:val="0"/>
    </w:pPr>
    <w:rPr>
      <w:rFonts w:ascii="Cambria" w:eastAsia="Times New Roman" w:hAnsi="Cambria"/>
      <w:color w:val="365F91"/>
      <w:sz w:val="28"/>
      <w:szCs w:val="28"/>
    </w:rPr>
  </w:style>
  <w:style w:type="paragraph" w:styleId="Heading3">
    <w:name w:val="heading 3"/>
    <w:basedOn w:val="Normal"/>
    <w:next w:val="Normal"/>
    <w:link w:val="Heading3Char"/>
    <w:uiPriority w:val="99"/>
    <w:qFormat/>
    <w:rsid w:val="0082147E"/>
    <w:pPr>
      <w:keepNext/>
      <w:keepLines/>
      <w:spacing w:before="200"/>
      <w:outlineLvl w:val="2"/>
    </w:pPr>
    <w:rPr>
      <w:rFonts w:ascii="Cambria" w:eastAsia="Times New Roman"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47E"/>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82147E"/>
    <w:rPr>
      <w:rFonts w:ascii="Cambria" w:hAnsi="Cambria" w:cs="Times New Roman"/>
      <w:b/>
      <w:bCs/>
      <w:color w:val="4F81BD"/>
    </w:rPr>
  </w:style>
  <w:style w:type="paragraph" w:customStyle="1" w:styleId="ChapterHeading">
    <w:name w:val="Chapter Heading"/>
    <w:basedOn w:val="Heading1"/>
    <w:link w:val="ChapterHeadingChar"/>
    <w:autoRedefine/>
    <w:uiPriority w:val="99"/>
    <w:rsid w:val="0082147E"/>
    <w:pPr>
      <w:spacing w:before="0" w:line="480" w:lineRule="auto"/>
    </w:pPr>
    <w:rPr>
      <w:rFonts w:ascii="Times New Roman" w:hAnsi="Times New Roman"/>
      <w:color w:val="auto"/>
      <w:sz w:val="24"/>
    </w:rPr>
  </w:style>
  <w:style w:type="character" w:customStyle="1" w:styleId="ChapterHeadingChar">
    <w:name w:val="Chapter Heading Char"/>
    <w:basedOn w:val="Heading1Char"/>
    <w:link w:val="ChapterHeading"/>
    <w:uiPriority w:val="99"/>
    <w:locked/>
    <w:rsid w:val="0082147E"/>
    <w:rPr>
      <w:rFonts w:ascii="Cambria" w:hAnsi="Cambria" w:cs="Times New Roman"/>
      <w:b/>
      <w:bCs/>
      <w:color w:val="365F91"/>
      <w:sz w:val="28"/>
      <w:szCs w:val="28"/>
    </w:rPr>
  </w:style>
  <w:style w:type="paragraph" w:customStyle="1" w:styleId="Style1">
    <w:name w:val="Style1"/>
    <w:basedOn w:val="Heading3"/>
    <w:link w:val="Style1Char"/>
    <w:autoRedefine/>
    <w:uiPriority w:val="99"/>
    <w:rsid w:val="0082147E"/>
    <w:pPr>
      <w:spacing w:line="480" w:lineRule="auto"/>
    </w:pPr>
    <w:rPr>
      <w:rFonts w:ascii="Times New Roman" w:hAnsi="Times New Roman"/>
      <w:i/>
      <w:lang w:eastAsia="zh-CN"/>
    </w:rPr>
  </w:style>
  <w:style w:type="character" w:customStyle="1" w:styleId="Style1Char">
    <w:name w:val="Style1 Char"/>
    <w:basedOn w:val="Heading3Char"/>
    <w:link w:val="Style1"/>
    <w:uiPriority w:val="99"/>
    <w:locked/>
    <w:rsid w:val="0082147E"/>
    <w:rPr>
      <w:rFonts w:ascii="Cambria" w:hAnsi="Cambria" w:cs="Times New Roman"/>
      <w:b/>
      <w:bCs/>
      <w:i/>
      <w:color w:val="4F81BD"/>
      <w:lang w:eastAsia="zh-CN"/>
    </w:rPr>
  </w:style>
  <w:style w:type="paragraph" w:styleId="BalloonText">
    <w:name w:val="Balloon Text"/>
    <w:basedOn w:val="Normal"/>
    <w:link w:val="BalloonTextChar"/>
    <w:uiPriority w:val="99"/>
    <w:semiHidden/>
    <w:rsid w:val="00AC6A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A13"/>
    <w:rPr>
      <w:rFonts w:ascii="Tahoma" w:hAnsi="Tahoma" w:cs="Tahoma"/>
      <w:sz w:val="16"/>
      <w:szCs w:val="16"/>
    </w:rPr>
  </w:style>
  <w:style w:type="paragraph" w:styleId="FootnoteText">
    <w:name w:val="footnote text"/>
    <w:basedOn w:val="Normal"/>
    <w:link w:val="FootnoteTextChar"/>
    <w:rsid w:val="005A2F23"/>
    <w:rPr>
      <w:sz w:val="20"/>
      <w:szCs w:val="20"/>
    </w:rPr>
  </w:style>
  <w:style w:type="character" w:customStyle="1" w:styleId="FootnoteTextChar">
    <w:name w:val="Footnote Text Char"/>
    <w:basedOn w:val="DefaultParagraphFont"/>
    <w:link w:val="FootnoteText"/>
    <w:uiPriority w:val="99"/>
    <w:locked/>
    <w:rsid w:val="005A2F23"/>
    <w:rPr>
      <w:rFonts w:cs="Times New Roman"/>
      <w:sz w:val="20"/>
      <w:szCs w:val="20"/>
    </w:rPr>
  </w:style>
  <w:style w:type="character" w:styleId="FootnoteReference">
    <w:name w:val="footnote reference"/>
    <w:basedOn w:val="DefaultParagraphFont"/>
    <w:uiPriority w:val="99"/>
    <w:semiHidden/>
    <w:rsid w:val="005A2F23"/>
    <w:rPr>
      <w:rFonts w:cs="Times New Roman"/>
      <w:vertAlign w:val="superscript"/>
    </w:rPr>
  </w:style>
  <w:style w:type="paragraph" w:styleId="Header">
    <w:name w:val="header"/>
    <w:basedOn w:val="Normal"/>
    <w:link w:val="HeaderChar"/>
    <w:uiPriority w:val="99"/>
    <w:semiHidden/>
    <w:rsid w:val="00AC6008"/>
    <w:pPr>
      <w:tabs>
        <w:tab w:val="center" w:pos="4680"/>
        <w:tab w:val="right" w:pos="9360"/>
      </w:tabs>
    </w:pPr>
  </w:style>
  <w:style w:type="character" w:customStyle="1" w:styleId="HeaderChar">
    <w:name w:val="Header Char"/>
    <w:basedOn w:val="DefaultParagraphFont"/>
    <w:link w:val="Header"/>
    <w:uiPriority w:val="99"/>
    <w:semiHidden/>
    <w:locked/>
    <w:rsid w:val="00AC6008"/>
    <w:rPr>
      <w:rFonts w:cs="Times New Roman"/>
    </w:rPr>
  </w:style>
  <w:style w:type="paragraph" w:styleId="Footer">
    <w:name w:val="footer"/>
    <w:basedOn w:val="Normal"/>
    <w:link w:val="FooterChar"/>
    <w:uiPriority w:val="99"/>
    <w:rsid w:val="00AC6008"/>
    <w:pPr>
      <w:tabs>
        <w:tab w:val="center" w:pos="4680"/>
        <w:tab w:val="right" w:pos="9360"/>
      </w:tabs>
    </w:pPr>
  </w:style>
  <w:style w:type="character" w:customStyle="1" w:styleId="FooterChar">
    <w:name w:val="Footer Char"/>
    <w:basedOn w:val="DefaultParagraphFont"/>
    <w:link w:val="Footer"/>
    <w:uiPriority w:val="99"/>
    <w:locked/>
    <w:rsid w:val="00AC6008"/>
    <w:rPr>
      <w:rFonts w:cs="Times New Roman"/>
    </w:rPr>
  </w:style>
  <w:style w:type="paragraph" w:styleId="Caption">
    <w:name w:val="caption"/>
    <w:basedOn w:val="Normal"/>
    <w:next w:val="Normal"/>
    <w:semiHidden/>
    <w:unhideWhenUsed/>
    <w:qFormat/>
    <w:locked/>
    <w:rsid w:val="00183C4C"/>
    <w:pPr>
      <w:spacing w:after="200"/>
    </w:pPr>
    <w:rPr>
      <w:b/>
      <w:b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1DEC-CF44-4448-B869-2B8AF0CF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Pacheco</dc:creator>
  <cp:lastModifiedBy>Pacheco, Julianna</cp:lastModifiedBy>
  <cp:revision>16</cp:revision>
  <cp:lastPrinted>2009-08-21T14:09:00Z</cp:lastPrinted>
  <dcterms:created xsi:type="dcterms:W3CDTF">2011-12-26T18:42:00Z</dcterms:created>
  <dcterms:modified xsi:type="dcterms:W3CDTF">2012-10-20T15:28:00Z</dcterms:modified>
</cp:coreProperties>
</file>